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8745" w14:textId="77777777" w:rsidR="00990F86" w:rsidRDefault="00990F86" w:rsidP="00990F86">
      <w:pPr>
        <w:pStyle w:val="Default"/>
      </w:pPr>
    </w:p>
    <w:p w14:paraId="5499E462" w14:textId="77777777" w:rsidR="00990F86" w:rsidRPr="0053713B" w:rsidRDefault="00990F86" w:rsidP="00990F86">
      <w:pPr>
        <w:pStyle w:val="NoSpacing"/>
        <w:jc w:val="center"/>
        <w:rPr>
          <w:rFonts w:ascii="Modern Love Grunge" w:hAnsi="Modern Love Grunge"/>
          <w:sz w:val="72"/>
          <w:szCs w:val="72"/>
        </w:rPr>
      </w:pPr>
      <w:r w:rsidRPr="0053713B">
        <w:rPr>
          <w:rFonts w:ascii="Modern Love Grunge" w:hAnsi="Modern Love Grunge"/>
          <w:sz w:val="72"/>
          <w:szCs w:val="72"/>
        </w:rPr>
        <w:t xml:space="preserve">Medicare Moments </w:t>
      </w:r>
    </w:p>
    <w:p w14:paraId="2EDB5A4C" w14:textId="77777777" w:rsidR="00990F86" w:rsidRPr="0053713B" w:rsidRDefault="00990F86" w:rsidP="00990F86">
      <w:pPr>
        <w:pStyle w:val="NoSpacing"/>
        <w:jc w:val="center"/>
        <w:rPr>
          <w:szCs w:val="28"/>
        </w:rPr>
      </w:pPr>
      <w:r w:rsidRPr="0053713B">
        <w:rPr>
          <w:szCs w:val="28"/>
        </w:rPr>
        <w:t>presented by Advantage Aging Solutions</w:t>
      </w:r>
    </w:p>
    <w:p w14:paraId="3023CF28" w14:textId="77777777" w:rsidR="00990F86" w:rsidRPr="0053713B" w:rsidRDefault="00990F86" w:rsidP="00990F86">
      <w:pPr>
        <w:pStyle w:val="NoSpacing"/>
        <w:jc w:val="center"/>
        <w:rPr>
          <w:szCs w:val="28"/>
        </w:rPr>
      </w:pPr>
      <w:r w:rsidRPr="0053713B">
        <w:rPr>
          <w:szCs w:val="28"/>
        </w:rPr>
        <w:t>and SHINE (Serving Health Insurance Needs of Elders)</w:t>
      </w:r>
    </w:p>
    <w:p w14:paraId="4B0F978B" w14:textId="77777777" w:rsidR="00990F86" w:rsidRDefault="00990F86" w:rsidP="00990F86">
      <w:pPr>
        <w:pStyle w:val="Default"/>
      </w:pPr>
      <w:r>
        <w:t xml:space="preserve"> </w:t>
      </w:r>
    </w:p>
    <w:p w14:paraId="118372AD" w14:textId="77777777" w:rsidR="00990F86" w:rsidRDefault="00990F86" w:rsidP="00990F86">
      <w:pPr>
        <w:pStyle w:val="Default"/>
      </w:pPr>
    </w:p>
    <w:p w14:paraId="5159256D" w14:textId="0F244D8C" w:rsidR="00990F86" w:rsidRDefault="00990F86" w:rsidP="00990F86">
      <w:pPr>
        <w:pStyle w:val="Default"/>
        <w:jc w:val="center"/>
        <w:rPr>
          <w:sz w:val="36"/>
          <w:szCs w:val="36"/>
        </w:rPr>
      </w:pPr>
      <w:r>
        <w:rPr>
          <w:b/>
          <w:bCs/>
          <w:sz w:val="36"/>
          <w:szCs w:val="36"/>
        </w:rPr>
        <w:t>Preventive Services</w:t>
      </w:r>
    </w:p>
    <w:p w14:paraId="425CF353" w14:textId="77777777" w:rsidR="00990F86" w:rsidRDefault="00990F86" w:rsidP="00990F86">
      <w:pPr>
        <w:pStyle w:val="Default"/>
        <w:jc w:val="center"/>
        <w:rPr>
          <w:rFonts w:ascii="Book Antiqua" w:hAnsi="Book Antiqua" w:cs="Book Antiqua"/>
          <w:sz w:val="28"/>
          <w:szCs w:val="28"/>
        </w:rPr>
      </w:pPr>
      <w:r>
        <w:rPr>
          <w:rFonts w:ascii="Book Antiqua" w:hAnsi="Book Antiqua" w:cs="Book Antiqua"/>
          <w:b/>
          <w:bCs/>
          <w:sz w:val="28"/>
          <w:szCs w:val="28"/>
        </w:rPr>
        <w:t xml:space="preserve">Did you know </w:t>
      </w:r>
      <w:r>
        <w:rPr>
          <w:rFonts w:ascii="Book Antiqua" w:hAnsi="Book Antiqua" w:cs="Book Antiqua"/>
          <w:sz w:val="28"/>
          <w:szCs w:val="28"/>
        </w:rPr>
        <w:t xml:space="preserve">that, according to Medicare.gov, there are at least 28 types of Preventive Services covered by Medicare Part B to help you stay healthy, detect health problems early, and prevent certain diseases. </w:t>
      </w:r>
    </w:p>
    <w:p w14:paraId="3CF0428E" w14:textId="77777777" w:rsidR="00990F86" w:rsidRDefault="00990F86" w:rsidP="00990F86">
      <w:pPr>
        <w:pStyle w:val="Default"/>
        <w:jc w:val="center"/>
        <w:rPr>
          <w:rFonts w:ascii="Book Antiqua" w:hAnsi="Book Antiqua" w:cs="Book Antiqua"/>
          <w:sz w:val="28"/>
          <w:szCs w:val="28"/>
        </w:rPr>
      </w:pPr>
    </w:p>
    <w:p w14:paraId="63FDABC0" w14:textId="02EF99E9" w:rsidR="00990F86" w:rsidRDefault="00990F86" w:rsidP="00990F86">
      <w:pPr>
        <w:pStyle w:val="Default"/>
        <w:jc w:val="both"/>
        <w:rPr>
          <w:rFonts w:ascii="Book Antiqua" w:hAnsi="Book Antiqua" w:cs="Book Antiqua"/>
          <w:sz w:val="28"/>
          <w:szCs w:val="28"/>
        </w:rPr>
      </w:pPr>
      <w:r>
        <w:rPr>
          <w:rFonts w:ascii="Book Antiqua" w:hAnsi="Book Antiqua" w:cs="Book Antiqua"/>
          <w:sz w:val="28"/>
          <w:szCs w:val="28"/>
        </w:rPr>
        <w:t>Preventive services include exams, shots, lab tests, and screenings, as well as your Annual Wellness Visit with your Primary Care Physician. They also include programs for health monitoring, and counseling and education to help you take care of your own health.</w:t>
      </w:r>
    </w:p>
    <w:p w14:paraId="4095D647" w14:textId="77777777" w:rsidR="00990F86" w:rsidRDefault="00990F86" w:rsidP="00990F86">
      <w:pPr>
        <w:pStyle w:val="Default"/>
        <w:rPr>
          <w:sz w:val="28"/>
          <w:szCs w:val="28"/>
        </w:rPr>
      </w:pPr>
    </w:p>
    <w:p w14:paraId="15B2C6D6" w14:textId="77777777" w:rsidR="00990F86" w:rsidRDefault="00990F86" w:rsidP="00990F86">
      <w:pPr>
        <w:pStyle w:val="Default"/>
        <w:jc w:val="both"/>
        <w:rPr>
          <w:rFonts w:ascii="Book Antiqua" w:hAnsi="Book Antiqua" w:cs="Book Antiqua"/>
          <w:sz w:val="28"/>
          <w:szCs w:val="28"/>
        </w:rPr>
      </w:pPr>
      <w:r>
        <w:rPr>
          <w:rFonts w:ascii="Book Antiqua" w:hAnsi="Book Antiqua" w:cs="Book Antiqua"/>
          <w:sz w:val="28"/>
          <w:szCs w:val="28"/>
        </w:rPr>
        <w:t xml:space="preserve">The great majority of these do not involve any out-of-pocket expenses (cost-sharing) </w:t>
      </w:r>
      <w:proofErr w:type="gramStart"/>
      <w:r>
        <w:rPr>
          <w:rFonts w:ascii="Book Antiqua" w:hAnsi="Book Antiqua" w:cs="Book Antiqua"/>
          <w:sz w:val="28"/>
          <w:szCs w:val="28"/>
        </w:rPr>
        <w:t>to</w:t>
      </w:r>
      <w:proofErr w:type="gramEnd"/>
      <w:r>
        <w:rPr>
          <w:rFonts w:ascii="Book Antiqua" w:hAnsi="Book Antiqua" w:cs="Book Antiqua"/>
          <w:sz w:val="28"/>
          <w:szCs w:val="28"/>
        </w:rPr>
        <w:t xml:space="preserve"> the beneficiary. This is true for both Original Medicare and Medicare Advantage plans. Your plan’s coverage rules may apply. </w:t>
      </w:r>
    </w:p>
    <w:p w14:paraId="029D768B" w14:textId="77777777" w:rsidR="00990F86" w:rsidRPr="00990F86" w:rsidRDefault="00990F86" w:rsidP="00990F86">
      <w:pPr>
        <w:pStyle w:val="Default"/>
        <w:rPr>
          <w:sz w:val="28"/>
          <w:szCs w:val="28"/>
        </w:rPr>
      </w:pPr>
    </w:p>
    <w:p w14:paraId="0228F1A1" w14:textId="77777777" w:rsidR="00990F86" w:rsidRPr="00990F86" w:rsidRDefault="00990F86" w:rsidP="00990F86">
      <w:pPr>
        <w:pStyle w:val="Default"/>
        <w:rPr>
          <w:rFonts w:ascii="Book Antiqua" w:hAnsi="Book Antiqua"/>
          <w:sz w:val="28"/>
          <w:szCs w:val="28"/>
        </w:rPr>
      </w:pPr>
      <w:r w:rsidRPr="00990F86">
        <w:rPr>
          <w:rFonts w:ascii="Book Antiqua" w:hAnsi="Book Antiqua"/>
          <w:sz w:val="28"/>
          <w:szCs w:val="28"/>
        </w:rPr>
        <w:t xml:space="preserve"> </w:t>
      </w:r>
      <w:r w:rsidRPr="00990F86">
        <w:rPr>
          <w:rFonts w:ascii="Book Antiqua" w:hAnsi="Book Antiqua"/>
          <w:b/>
          <w:bCs/>
          <w:sz w:val="28"/>
          <w:szCs w:val="28"/>
        </w:rPr>
        <w:t xml:space="preserve">Original Medicare: </w:t>
      </w:r>
    </w:p>
    <w:p w14:paraId="4566B2F2" w14:textId="743DCE86" w:rsidR="00990F86" w:rsidRPr="00990F86" w:rsidRDefault="00990F86" w:rsidP="00990F86">
      <w:pPr>
        <w:pStyle w:val="Default"/>
        <w:numPr>
          <w:ilvl w:val="0"/>
          <w:numId w:val="4"/>
        </w:numPr>
        <w:rPr>
          <w:rFonts w:ascii="Book Antiqua" w:hAnsi="Book Antiqua"/>
          <w:sz w:val="28"/>
          <w:szCs w:val="28"/>
        </w:rPr>
      </w:pPr>
      <w:r w:rsidRPr="00990F86">
        <w:rPr>
          <w:rFonts w:ascii="Book Antiqua" w:hAnsi="Book Antiqua"/>
          <w:sz w:val="28"/>
          <w:szCs w:val="28"/>
        </w:rPr>
        <w:t xml:space="preserve">You pay nothing (no deductible or coinsurance) for most preventive services when you see a participating Medicare provider. </w:t>
      </w:r>
    </w:p>
    <w:p w14:paraId="0FEBC85B" w14:textId="77777777" w:rsidR="00990F86" w:rsidRPr="00990F86" w:rsidRDefault="00990F86" w:rsidP="00990F86">
      <w:pPr>
        <w:pStyle w:val="Default"/>
        <w:rPr>
          <w:rFonts w:ascii="Book Antiqua" w:hAnsi="Book Antiqua"/>
          <w:sz w:val="28"/>
          <w:szCs w:val="28"/>
        </w:rPr>
      </w:pPr>
    </w:p>
    <w:p w14:paraId="110A3730" w14:textId="77777777" w:rsidR="00990F86" w:rsidRPr="00990F86" w:rsidRDefault="00990F86" w:rsidP="00990F86">
      <w:pPr>
        <w:pStyle w:val="Default"/>
        <w:rPr>
          <w:rFonts w:ascii="Book Antiqua" w:hAnsi="Book Antiqua"/>
          <w:sz w:val="28"/>
          <w:szCs w:val="28"/>
        </w:rPr>
      </w:pPr>
      <w:r w:rsidRPr="00990F86">
        <w:rPr>
          <w:rFonts w:ascii="Book Antiqua" w:hAnsi="Book Antiqua"/>
          <w:b/>
          <w:bCs/>
          <w:sz w:val="28"/>
          <w:szCs w:val="28"/>
        </w:rPr>
        <w:t xml:space="preserve">Medicare Advantage Plans: </w:t>
      </w:r>
    </w:p>
    <w:p w14:paraId="0EF3E650" w14:textId="77777777" w:rsidR="00990F86" w:rsidRPr="00990F86" w:rsidRDefault="00990F86" w:rsidP="00990F86">
      <w:pPr>
        <w:pStyle w:val="Default"/>
        <w:numPr>
          <w:ilvl w:val="0"/>
          <w:numId w:val="4"/>
        </w:numPr>
        <w:rPr>
          <w:rFonts w:ascii="Book Antiqua" w:hAnsi="Book Antiqua"/>
          <w:sz w:val="28"/>
          <w:szCs w:val="28"/>
        </w:rPr>
      </w:pPr>
      <w:r w:rsidRPr="00990F86">
        <w:rPr>
          <w:rFonts w:ascii="Book Antiqua" w:hAnsi="Book Antiqua"/>
          <w:sz w:val="28"/>
          <w:szCs w:val="28"/>
        </w:rPr>
        <w:t xml:space="preserve">You pay nothing when seeing an in-network provider for preventive services that are covered with zero cost-sharing by Original Medicare. </w:t>
      </w:r>
    </w:p>
    <w:p w14:paraId="27BEC358" w14:textId="77777777" w:rsidR="00990F86" w:rsidRPr="00990F86" w:rsidRDefault="00990F86" w:rsidP="00990F86">
      <w:pPr>
        <w:pStyle w:val="Default"/>
        <w:numPr>
          <w:ilvl w:val="0"/>
          <w:numId w:val="4"/>
        </w:numPr>
        <w:rPr>
          <w:rFonts w:ascii="Book Antiqua" w:hAnsi="Book Antiqua"/>
          <w:sz w:val="28"/>
          <w:szCs w:val="28"/>
        </w:rPr>
      </w:pPr>
      <w:r w:rsidRPr="00990F86">
        <w:rPr>
          <w:rFonts w:ascii="Book Antiqua" w:hAnsi="Book Antiqua"/>
          <w:sz w:val="28"/>
          <w:szCs w:val="28"/>
        </w:rPr>
        <w:t xml:space="preserve">Advantage Plans could, however, charge you for preventive services that Medicare does not cover with zero cost-sharing. </w:t>
      </w:r>
    </w:p>
    <w:p w14:paraId="22D7C538" w14:textId="7BC3F5EF" w:rsidR="00990F86" w:rsidRPr="00990F86" w:rsidRDefault="00990F86" w:rsidP="00990F86">
      <w:pPr>
        <w:pStyle w:val="Default"/>
        <w:numPr>
          <w:ilvl w:val="0"/>
          <w:numId w:val="4"/>
        </w:numPr>
        <w:rPr>
          <w:rFonts w:ascii="Book Antiqua" w:hAnsi="Book Antiqua"/>
          <w:sz w:val="28"/>
          <w:szCs w:val="28"/>
        </w:rPr>
      </w:pPr>
      <w:r w:rsidRPr="00990F86">
        <w:rPr>
          <w:rFonts w:ascii="Book Antiqua" w:hAnsi="Book Antiqua"/>
          <w:sz w:val="28"/>
          <w:szCs w:val="28"/>
        </w:rPr>
        <w:t xml:space="preserve">During your preventive care, should your doctor discover and need to investigate or treat a new or existing problem, this additional care is considered diagnostic, and you may be billed for any diagnostic care you receive. </w:t>
      </w:r>
    </w:p>
    <w:p w14:paraId="35F9CBD2" w14:textId="77777777" w:rsidR="00990F86" w:rsidRPr="00990F86" w:rsidRDefault="00990F86" w:rsidP="00990F86">
      <w:pPr>
        <w:pStyle w:val="Default"/>
        <w:rPr>
          <w:rFonts w:ascii="Book Antiqua" w:hAnsi="Book Antiqua"/>
          <w:sz w:val="28"/>
          <w:szCs w:val="28"/>
        </w:rPr>
      </w:pPr>
    </w:p>
    <w:p w14:paraId="7E27AD1C" w14:textId="77777777" w:rsidR="00990F86" w:rsidRPr="00A42249" w:rsidRDefault="00990F86" w:rsidP="00990F86">
      <w:pPr>
        <w:jc w:val="center"/>
        <w:rPr>
          <w:rFonts w:ascii="Book Antiqua" w:hAnsi="Book Antiqua"/>
          <w:sz w:val="36"/>
          <w:szCs w:val="36"/>
        </w:rPr>
      </w:pPr>
      <w:r w:rsidRPr="00A42249">
        <w:rPr>
          <w:rFonts w:ascii="Book Antiqua" w:hAnsi="Book Antiqua"/>
          <w:sz w:val="36"/>
          <w:szCs w:val="36"/>
        </w:rPr>
        <w:t>To talk to a SHINE Medicare Counselor,</w:t>
      </w:r>
    </w:p>
    <w:p w14:paraId="5328F964" w14:textId="77777777" w:rsidR="00990F86" w:rsidRPr="0053713B" w:rsidRDefault="00990F86" w:rsidP="00990F86">
      <w:pPr>
        <w:jc w:val="center"/>
        <w:rPr>
          <w:rStyle w:val="IntenseEmphasis"/>
          <w:rFonts w:ascii="Verdana" w:hAnsi="Verdana"/>
          <w:i w:val="0"/>
          <w:iCs w:val="0"/>
          <w:color w:val="auto"/>
          <w:sz w:val="36"/>
          <w:szCs w:val="36"/>
        </w:rPr>
      </w:pPr>
      <w:r w:rsidRPr="00A42249">
        <w:rPr>
          <w:rFonts w:ascii="Book Antiqua" w:hAnsi="Book Antiqua"/>
          <w:sz w:val="36"/>
          <w:szCs w:val="36"/>
        </w:rPr>
        <w:t>Call the</w:t>
      </w:r>
      <w:r>
        <w:rPr>
          <w:rFonts w:ascii="Verdana" w:hAnsi="Verdana"/>
          <w:sz w:val="36"/>
          <w:szCs w:val="36"/>
        </w:rPr>
        <w:t xml:space="preserve"> </w:t>
      </w:r>
      <w:r w:rsidRPr="0053713B">
        <w:rPr>
          <w:rFonts w:asciiTheme="minorHAnsi" w:hAnsiTheme="minorHAnsi" w:cstheme="minorHAnsi"/>
          <w:b/>
          <w:bCs/>
          <w:noProof/>
          <w:sz w:val="40"/>
          <w:szCs w:val="40"/>
        </w:rPr>
        <w:t>Elder Helpline at 866-467-4624</w:t>
      </w:r>
    </w:p>
    <w:p w14:paraId="65F452A8" w14:textId="23277A4E" w:rsidR="00990F86" w:rsidRPr="0053713B" w:rsidRDefault="00990F86" w:rsidP="00990F86">
      <w:pPr>
        <w:pStyle w:val="NoSpacing"/>
        <w:ind w:left="420"/>
        <w:rPr>
          <w:rStyle w:val="IntenseEmphasis"/>
          <w:i w:val="0"/>
          <w:iCs w:val="0"/>
          <w:noProof/>
          <w:color w:val="auto"/>
        </w:rPr>
      </w:pPr>
      <w:r>
        <w:rPr>
          <w:rStyle w:val="IntenseEmphasis"/>
          <w:color w:val="0D0D0D" w:themeColor="text1" w:themeTint="F2"/>
        </w:rPr>
        <w:t xml:space="preserve">                                           </w:t>
      </w:r>
      <w:r>
        <w:rPr>
          <w:noProof/>
        </w:rPr>
        <w:t xml:space="preserve">      </w:t>
      </w:r>
    </w:p>
    <w:p w14:paraId="3F9EF64D" w14:textId="3C8BD309" w:rsidR="00990F86" w:rsidRPr="00990F86" w:rsidRDefault="00990F86" w:rsidP="00990F86">
      <w:r>
        <w:rPr>
          <w:noProof/>
        </w:rPr>
        <w:drawing>
          <wp:anchor distT="0" distB="0" distL="114300" distR="114300" simplePos="0" relativeHeight="251660288" behindDoc="1" locked="0" layoutInCell="1" allowOverlap="1" wp14:anchorId="71E54288" wp14:editId="2FD58ABD">
            <wp:simplePos x="0" y="0"/>
            <wp:positionH relativeFrom="column">
              <wp:posOffset>4804410</wp:posOffset>
            </wp:positionH>
            <wp:positionV relativeFrom="paragraph">
              <wp:posOffset>63500</wp:posOffset>
            </wp:positionV>
            <wp:extent cx="1501140" cy="1114425"/>
            <wp:effectExtent l="0" t="0" r="3810" b="9525"/>
            <wp:wrapTight wrapText="bothSides">
              <wp:wrapPolygon edited="0">
                <wp:start x="0" y="0"/>
                <wp:lineTo x="0" y="21415"/>
                <wp:lineTo x="21381" y="21415"/>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140" cy="1114425"/>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6913F55C" wp14:editId="24441D81">
            <wp:simplePos x="0" y="0"/>
            <wp:positionH relativeFrom="margin">
              <wp:align>center</wp:align>
            </wp:positionH>
            <wp:positionV relativeFrom="paragraph">
              <wp:posOffset>364490</wp:posOffset>
            </wp:positionV>
            <wp:extent cx="1931670" cy="695325"/>
            <wp:effectExtent l="0" t="0" r="0" b="9525"/>
            <wp:wrapTight wrapText="bothSides">
              <wp:wrapPolygon edited="0">
                <wp:start x="0" y="0"/>
                <wp:lineTo x="0" y="21304"/>
                <wp:lineTo x="21302" y="21304"/>
                <wp:lineTo x="21302" y="0"/>
                <wp:lineTo x="0" y="0"/>
              </wp:wrapPolygon>
            </wp:wrapTight>
            <wp:docPr id="3" name="Picture 3" descr="DO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A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31670" cy="695325"/>
                    </a:xfrm>
                    <a:prstGeom prst="rect">
                      <a:avLst/>
                    </a:prstGeom>
                    <a:noFill/>
                    <a:ln>
                      <a:noFill/>
                    </a:ln>
                  </pic:spPr>
                </pic:pic>
              </a:graphicData>
            </a:graphic>
          </wp:anchor>
        </w:drawing>
      </w:r>
      <w:r>
        <w:rPr>
          <w:noProof/>
          <w:color w:val="0D0D0D" w:themeColor="text1" w:themeTint="F2"/>
        </w:rPr>
        <w:drawing>
          <wp:anchor distT="0" distB="0" distL="114300" distR="114300" simplePos="0" relativeHeight="251661312" behindDoc="1" locked="0" layoutInCell="1" allowOverlap="1" wp14:anchorId="70EC9FB7" wp14:editId="627413DB">
            <wp:simplePos x="0" y="0"/>
            <wp:positionH relativeFrom="column">
              <wp:posOffset>-312420</wp:posOffset>
            </wp:positionH>
            <wp:positionV relativeFrom="paragraph">
              <wp:posOffset>345440</wp:posOffset>
            </wp:positionV>
            <wp:extent cx="1475105" cy="735330"/>
            <wp:effectExtent l="0" t="0" r="0" b="0"/>
            <wp:wrapTight wrapText="bothSides">
              <wp:wrapPolygon edited="0">
                <wp:start x="3347" y="0"/>
                <wp:lineTo x="3347" y="8394"/>
                <wp:lineTo x="837" y="10073"/>
                <wp:lineTo x="279" y="17347"/>
                <wp:lineTo x="1116" y="19026"/>
                <wp:lineTo x="3068" y="20705"/>
                <wp:lineTo x="15342" y="20705"/>
                <wp:lineTo x="19805" y="19585"/>
                <wp:lineTo x="21200" y="19026"/>
                <wp:lineTo x="21200" y="12311"/>
                <wp:lineTo x="19526" y="10632"/>
                <wp:lineTo x="18132" y="0"/>
                <wp:lineTo x="3347" y="0"/>
              </wp:wrapPolygon>
            </wp:wrapTight>
            <wp:docPr id="448990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90630" name="Picture 448990630"/>
                    <pic:cNvPicPr/>
                  </pic:nvPicPr>
                  <pic:blipFill>
                    <a:blip r:embed="rId7">
                      <a:extLst>
                        <a:ext uri="{28A0092B-C50C-407E-A947-70E740481C1C}">
                          <a14:useLocalDpi xmlns:a14="http://schemas.microsoft.com/office/drawing/2010/main" val="0"/>
                        </a:ext>
                      </a:extLst>
                    </a:blip>
                    <a:stretch>
                      <a:fillRect/>
                    </a:stretch>
                  </pic:blipFill>
                  <pic:spPr>
                    <a:xfrm>
                      <a:off x="0" y="0"/>
                      <a:ext cx="1475105" cy="735330"/>
                    </a:xfrm>
                    <a:prstGeom prst="rect">
                      <a:avLst/>
                    </a:prstGeom>
                  </pic:spPr>
                </pic:pic>
              </a:graphicData>
            </a:graphic>
          </wp:anchor>
        </w:drawing>
      </w:r>
    </w:p>
    <w:sectPr w:rsidR="00990F86" w:rsidRPr="00990F86" w:rsidSect="00990F86">
      <w:pgSz w:w="12240" w:h="2066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masis MT Pro">
    <w:altName w:val="Amasis MT Pro Black"/>
    <w:charset w:val="00"/>
    <w:family w:val="roman"/>
    <w:pitch w:val="variable"/>
    <w:sig w:usb0="A00000AF" w:usb1="4000205B" w:usb2="00000000" w:usb3="00000000" w:csb0="00000093" w:csb1="00000000"/>
  </w:font>
  <w:font w:name="Book Antiqua">
    <w:altName w:val="Book Antiqua"/>
    <w:panose1 w:val="02040602050305030304"/>
    <w:charset w:val="00"/>
    <w:family w:val="roman"/>
    <w:pitch w:val="variable"/>
    <w:sig w:usb0="00000287" w:usb1="00000000" w:usb2="00000000" w:usb3="00000000" w:csb0="0000009F" w:csb1="00000000"/>
  </w:font>
  <w:font w:name="Modern Love Grunge">
    <w:altName w:val="Modern Love Grunge"/>
    <w:charset w:val="00"/>
    <w:family w:val="decorative"/>
    <w:pitch w:val="variable"/>
    <w:sig w:usb0="8000002F" w:usb1="0000000A"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4168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252D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546C1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35E5554"/>
    <w:multiLevelType w:val="hybridMultilevel"/>
    <w:tmpl w:val="8C68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51886">
    <w:abstractNumId w:val="0"/>
  </w:num>
  <w:num w:numId="2" w16cid:durableId="1749182837">
    <w:abstractNumId w:val="2"/>
  </w:num>
  <w:num w:numId="3" w16cid:durableId="121925243">
    <w:abstractNumId w:val="1"/>
  </w:num>
  <w:num w:numId="4" w16cid:durableId="58519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86"/>
    <w:rsid w:val="00114484"/>
    <w:rsid w:val="00990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98E2"/>
  <w15:chartTrackingRefBased/>
  <w15:docId w15:val="{DAD7BAFC-462C-49D9-8C72-6A7AA381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86"/>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990F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F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F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F8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90F8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90F8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90F8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90F8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90F8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F86"/>
    <w:rPr>
      <w:rFonts w:eastAsiaTheme="majorEastAsia" w:cstheme="majorBidi"/>
      <w:color w:val="272727" w:themeColor="text1" w:themeTint="D8"/>
    </w:rPr>
  </w:style>
  <w:style w:type="paragraph" w:styleId="Title">
    <w:name w:val="Title"/>
    <w:basedOn w:val="Normal"/>
    <w:next w:val="Normal"/>
    <w:link w:val="TitleChar"/>
    <w:uiPriority w:val="10"/>
    <w:qFormat/>
    <w:rsid w:val="00990F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F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F86"/>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90F86"/>
    <w:rPr>
      <w:i/>
      <w:iCs/>
      <w:color w:val="404040" w:themeColor="text1" w:themeTint="BF"/>
    </w:rPr>
  </w:style>
  <w:style w:type="paragraph" w:styleId="ListParagraph">
    <w:name w:val="List Paragraph"/>
    <w:basedOn w:val="Normal"/>
    <w:uiPriority w:val="34"/>
    <w:qFormat/>
    <w:rsid w:val="00990F86"/>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90F86"/>
    <w:rPr>
      <w:i/>
      <w:iCs/>
      <w:color w:val="0F4761" w:themeColor="accent1" w:themeShade="BF"/>
    </w:rPr>
  </w:style>
  <w:style w:type="paragraph" w:styleId="IntenseQuote">
    <w:name w:val="Intense Quote"/>
    <w:basedOn w:val="Normal"/>
    <w:next w:val="Normal"/>
    <w:link w:val="IntenseQuoteChar"/>
    <w:uiPriority w:val="30"/>
    <w:qFormat/>
    <w:rsid w:val="00990F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90F86"/>
    <w:rPr>
      <w:i/>
      <w:iCs/>
      <w:color w:val="0F4761" w:themeColor="accent1" w:themeShade="BF"/>
    </w:rPr>
  </w:style>
  <w:style w:type="character" w:styleId="IntenseReference">
    <w:name w:val="Intense Reference"/>
    <w:basedOn w:val="DefaultParagraphFont"/>
    <w:uiPriority w:val="32"/>
    <w:qFormat/>
    <w:rsid w:val="00990F86"/>
    <w:rPr>
      <w:b/>
      <w:bCs/>
      <w:smallCaps/>
      <w:color w:val="0F4761" w:themeColor="accent1" w:themeShade="BF"/>
      <w:spacing w:val="5"/>
    </w:rPr>
  </w:style>
  <w:style w:type="paragraph" w:customStyle="1" w:styleId="Default">
    <w:name w:val="Default"/>
    <w:rsid w:val="00990F86"/>
    <w:pPr>
      <w:autoSpaceDE w:val="0"/>
      <w:autoSpaceDN w:val="0"/>
      <w:adjustRightInd w:val="0"/>
      <w:spacing w:after="0" w:line="240" w:lineRule="auto"/>
    </w:pPr>
    <w:rPr>
      <w:rFonts w:ascii="Amasis MT Pro" w:hAnsi="Amasis MT Pro" w:cs="Amasis MT Pro"/>
      <w:color w:val="000000"/>
      <w:kern w:val="0"/>
    </w:rPr>
  </w:style>
  <w:style w:type="paragraph" w:styleId="NoSpacing">
    <w:name w:val="No Spacing"/>
    <w:uiPriority w:val="1"/>
    <w:qFormat/>
    <w:rsid w:val="00990F86"/>
    <w:pPr>
      <w:spacing w:after="0" w:line="240" w:lineRule="auto"/>
    </w:pPr>
    <w:rPr>
      <w:rFonts w:ascii="Book Antiqua" w:hAnsi="Book Antiqua"/>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Rode</dc:creator>
  <cp:keywords/>
  <dc:description/>
  <cp:lastModifiedBy>Sarah Rode</cp:lastModifiedBy>
  <cp:revision>1</cp:revision>
  <dcterms:created xsi:type="dcterms:W3CDTF">2025-10-01T14:45:00Z</dcterms:created>
  <dcterms:modified xsi:type="dcterms:W3CDTF">2025-10-01T14:52:00Z</dcterms:modified>
</cp:coreProperties>
</file>