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FD33" w14:textId="77777777" w:rsidR="0050266D" w:rsidRPr="0053713B" w:rsidRDefault="0050266D" w:rsidP="0050266D">
      <w:pPr>
        <w:pStyle w:val="NoSpacing"/>
        <w:jc w:val="center"/>
        <w:rPr>
          <w:rFonts w:ascii="Modern Love Grunge" w:hAnsi="Modern Love Grunge"/>
          <w:sz w:val="72"/>
          <w:szCs w:val="72"/>
        </w:rPr>
      </w:pPr>
      <w:r w:rsidRPr="0053713B">
        <w:rPr>
          <w:rFonts w:ascii="Modern Love Grunge" w:hAnsi="Modern Love Grunge"/>
          <w:sz w:val="72"/>
          <w:szCs w:val="72"/>
        </w:rPr>
        <w:t xml:space="preserve">Medicare Moments </w:t>
      </w:r>
    </w:p>
    <w:p w14:paraId="1E258125" w14:textId="77777777" w:rsidR="0050266D" w:rsidRPr="0050266D" w:rsidRDefault="0050266D" w:rsidP="0050266D">
      <w:pPr>
        <w:pStyle w:val="NoSpacing"/>
        <w:jc w:val="center"/>
        <w:rPr>
          <w:szCs w:val="28"/>
        </w:rPr>
      </w:pPr>
      <w:r w:rsidRPr="0050266D">
        <w:rPr>
          <w:szCs w:val="28"/>
        </w:rPr>
        <w:t>presented by Advantage Aging Solutions</w:t>
      </w:r>
    </w:p>
    <w:p w14:paraId="1FD82656" w14:textId="77777777" w:rsidR="0050266D" w:rsidRPr="0050266D" w:rsidRDefault="0050266D" w:rsidP="0050266D">
      <w:pPr>
        <w:pStyle w:val="NoSpacing"/>
        <w:jc w:val="center"/>
        <w:rPr>
          <w:szCs w:val="28"/>
        </w:rPr>
      </w:pPr>
      <w:r w:rsidRPr="0050266D">
        <w:rPr>
          <w:szCs w:val="28"/>
        </w:rPr>
        <w:t>and SHINE (Serving Health Insurance Needs of Elders)</w:t>
      </w:r>
    </w:p>
    <w:p w14:paraId="132C6E76" w14:textId="77777777" w:rsidR="0050266D" w:rsidRPr="0050266D" w:rsidRDefault="0050266D" w:rsidP="0050266D">
      <w:pPr>
        <w:pStyle w:val="Default"/>
        <w:rPr>
          <w:sz w:val="28"/>
          <w:szCs w:val="28"/>
        </w:rPr>
      </w:pPr>
    </w:p>
    <w:p w14:paraId="64B4F9C0" w14:textId="0DDE1664" w:rsidR="0050266D" w:rsidRPr="0050266D" w:rsidRDefault="0050266D" w:rsidP="0050266D">
      <w:pPr>
        <w:pStyle w:val="Default"/>
        <w:jc w:val="center"/>
        <w:rPr>
          <w:b/>
          <w:bCs/>
          <w:sz w:val="28"/>
          <w:szCs w:val="28"/>
        </w:rPr>
      </w:pPr>
      <w:r w:rsidRPr="0050266D">
        <w:rPr>
          <w:b/>
          <w:bCs/>
          <w:sz w:val="28"/>
          <w:szCs w:val="28"/>
        </w:rPr>
        <w:t>Medicare Open Enrollment Part II: Choosing A New Plan</w:t>
      </w:r>
    </w:p>
    <w:p w14:paraId="72600FD4" w14:textId="77777777" w:rsidR="0050266D" w:rsidRPr="0050266D" w:rsidRDefault="0050266D" w:rsidP="0050266D">
      <w:pPr>
        <w:pStyle w:val="Default"/>
        <w:jc w:val="center"/>
        <w:rPr>
          <w:b/>
          <w:bCs/>
          <w:sz w:val="28"/>
          <w:szCs w:val="28"/>
        </w:rPr>
      </w:pPr>
    </w:p>
    <w:p w14:paraId="4FB0B521" w14:textId="6E18F648" w:rsidR="0050266D" w:rsidRPr="0050266D" w:rsidRDefault="0050266D" w:rsidP="0050266D">
      <w:pPr>
        <w:pStyle w:val="Default"/>
        <w:jc w:val="center"/>
        <w:rPr>
          <w:rFonts w:ascii="Book Antiqua" w:hAnsi="Book Antiqua" w:cs="Book Antiqua"/>
          <w:sz w:val="28"/>
          <w:szCs w:val="28"/>
        </w:rPr>
      </w:pPr>
      <w:r w:rsidRPr="0050266D">
        <w:rPr>
          <w:rFonts w:ascii="Book Antiqua" w:hAnsi="Book Antiqua" w:cs="Book Antiqua"/>
          <w:b/>
          <w:bCs/>
          <w:sz w:val="28"/>
          <w:szCs w:val="28"/>
        </w:rPr>
        <w:t xml:space="preserve">Did you know </w:t>
      </w:r>
      <w:r w:rsidRPr="0050266D">
        <w:rPr>
          <w:rFonts w:ascii="Book Antiqua" w:hAnsi="Book Antiqua" w:cs="Book Antiqua"/>
          <w:sz w:val="28"/>
          <w:szCs w:val="28"/>
        </w:rPr>
        <w:t xml:space="preserve">that Medicare’s annual Open Enrollment Period is the one time </w:t>
      </w:r>
      <w:proofErr w:type="gramStart"/>
      <w:r w:rsidRPr="0050266D">
        <w:rPr>
          <w:rFonts w:ascii="Book Antiqua" w:hAnsi="Book Antiqua" w:cs="Book Antiqua"/>
          <w:sz w:val="28"/>
          <w:szCs w:val="28"/>
        </w:rPr>
        <w:t>of</w:t>
      </w:r>
      <w:proofErr w:type="gramEnd"/>
      <w:r w:rsidRPr="0050266D">
        <w:rPr>
          <w:rFonts w:ascii="Book Antiqua" w:hAnsi="Book Antiqua" w:cs="Book Antiqua"/>
          <w:sz w:val="28"/>
          <w:szCs w:val="28"/>
        </w:rPr>
        <w:t xml:space="preserve"> year that most beneficiaries make changes to their coverage? If you have reviewed your present plan, are aware of coming changes that will affect you, foresee increased out of pocket expenses, and have decided to look at other plans, you’ll want to know where to obtain the best healthcare coverage and at the lowest cost.</w:t>
      </w:r>
    </w:p>
    <w:p w14:paraId="28CDDF8D" w14:textId="77777777" w:rsidR="0050266D" w:rsidRPr="0050266D" w:rsidRDefault="0050266D" w:rsidP="0050266D">
      <w:pPr>
        <w:pStyle w:val="Default"/>
        <w:jc w:val="center"/>
        <w:rPr>
          <w:rFonts w:ascii="Book Antiqua" w:hAnsi="Book Antiqua" w:cs="Book Antiqua"/>
          <w:sz w:val="28"/>
          <w:szCs w:val="28"/>
        </w:rPr>
      </w:pPr>
    </w:p>
    <w:p w14:paraId="1D9FA4E8" w14:textId="77777777" w:rsidR="0050266D" w:rsidRPr="0050266D" w:rsidRDefault="0050266D" w:rsidP="0050266D">
      <w:pPr>
        <w:pStyle w:val="Default"/>
        <w:rPr>
          <w:rFonts w:ascii="Book Antiqua" w:hAnsi="Book Antiqua" w:cs="Book Antiqua"/>
          <w:sz w:val="28"/>
          <w:szCs w:val="28"/>
          <w:u w:val="single"/>
        </w:rPr>
      </w:pPr>
      <w:r w:rsidRPr="0050266D">
        <w:rPr>
          <w:rFonts w:ascii="Book Antiqua" w:hAnsi="Book Antiqua" w:cs="Book Antiqua"/>
          <w:b/>
          <w:bCs/>
          <w:sz w:val="28"/>
          <w:szCs w:val="28"/>
          <w:u w:val="single"/>
        </w:rPr>
        <w:t xml:space="preserve">Changes You Can Make during Open Enrollment: </w:t>
      </w:r>
    </w:p>
    <w:p w14:paraId="7C528E95" w14:textId="75C90C79" w:rsidR="0050266D" w:rsidRPr="0050266D" w:rsidRDefault="0050266D" w:rsidP="0050266D">
      <w:pPr>
        <w:pStyle w:val="Default"/>
        <w:numPr>
          <w:ilvl w:val="0"/>
          <w:numId w:val="2"/>
        </w:numPr>
        <w:rPr>
          <w:rFonts w:ascii="Book Antiqua" w:hAnsi="Book Antiqua" w:cs="Book Antiqua"/>
          <w:sz w:val="28"/>
          <w:szCs w:val="28"/>
          <w:u w:val="single"/>
        </w:rPr>
      </w:pPr>
      <w:r w:rsidRPr="0050266D">
        <w:rPr>
          <w:rFonts w:ascii="Book Antiqua" w:hAnsi="Book Antiqua" w:cs="Book Antiqua"/>
          <w:sz w:val="28"/>
          <w:szCs w:val="28"/>
        </w:rPr>
        <w:t>Move f</w:t>
      </w:r>
      <w:r w:rsidRPr="0050266D">
        <w:rPr>
          <w:rFonts w:ascii="Book Antiqua" w:hAnsi="Book Antiqua" w:cs="Book Antiqua"/>
          <w:sz w:val="28"/>
          <w:szCs w:val="28"/>
        </w:rPr>
        <w:t xml:space="preserve">rom Original Medicare to a Medicare Advantage </w:t>
      </w:r>
      <w:r w:rsidRPr="0050266D">
        <w:rPr>
          <w:rFonts w:ascii="Book Antiqua" w:hAnsi="Book Antiqua" w:cs="Book Antiqua"/>
          <w:sz w:val="28"/>
          <w:szCs w:val="28"/>
        </w:rPr>
        <w:t>P</w:t>
      </w:r>
      <w:r w:rsidRPr="0050266D">
        <w:rPr>
          <w:rFonts w:ascii="Book Antiqua" w:hAnsi="Book Antiqua" w:cs="Book Antiqua"/>
          <w:sz w:val="28"/>
          <w:szCs w:val="28"/>
        </w:rPr>
        <w:t>lan or vice versa</w:t>
      </w:r>
    </w:p>
    <w:p w14:paraId="4101625B" w14:textId="55DBA7C8" w:rsidR="0050266D" w:rsidRPr="0050266D" w:rsidRDefault="0050266D" w:rsidP="0050266D">
      <w:pPr>
        <w:pStyle w:val="Default"/>
        <w:numPr>
          <w:ilvl w:val="0"/>
          <w:numId w:val="2"/>
        </w:numPr>
        <w:rPr>
          <w:rFonts w:ascii="Book Antiqua" w:hAnsi="Book Antiqua" w:cs="Book Antiqua"/>
          <w:sz w:val="28"/>
          <w:szCs w:val="28"/>
          <w:u w:val="single"/>
        </w:rPr>
      </w:pPr>
      <w:r w:rsidRPr="0050266D">
        <w:rPr>
          <w:rFonts w:ascii="Book Antiqua" w:hAnsi="Book Antiqua" w:cs="Book Antiqua"/>
          <w:sz w:val="28"/>
          <w:szCs w:val="28"/>
        </w:rPr>
        <w:t>Move f</w:t>
      </w:r>
      <w:r w:rsidRPr="0050266D">
        <w:rPr>
          <w:rFonts w:ascii="Book Antiqua" w:hAnsi="Book Antiqua" w:cs="Book Antiqua"/>
          <w:sz w:val="28"/>
          <w:szCs w:val="28"/>
        </w:rPr>
        <w:t>rom one Medicare Advantage plan (Part C) to another</w:t>
      </w:r>
    </w:p>
    <w:p w14:paraId="7D1357CC" w14:textId="2A33D76E" w:rsidR="0050266D" w:rsidRPr="0050266D" w:rsidRDefault="0050266D" w:rsidP="0050266D">
      <w:pPr>
        <w:pStyle w:val="Default"/>
        <w:numPr>
          <w:ilvl w:val="0"/>
          <w:numId w:val="2"/>
        </w:numPr>
        <w:rPr>
          <w:rFonts w:ascii="Book Antiqua" w:hAnsi="Book Antiqua" w:cs="Book Antiqua"/>
          <w:sz w:val="28"/>
          <w:szCs w:val="28"/>
          <w:u w:val="single"/>
        </w:rPr>
      </w:pPr>
      <w:r w:rsidRPr="0050266D">
        <w:rPr>
          <w:rFonts w:ascii="Book Antiqua" w:hAnsi="Book Antiqua" w:cs="Book Antiqua"/>
          <w:sz w:val="28"/>
          <w:szCs w:val="28"/>
        </w:rPr>
        <w:t>Move f</w:t>
      </w:r>
      <w:r w:rsidRPr="0050266D">
        <w:rPr>
          <w:rFonts w:ascii="Book Antiqua" w:hAnsi="Book Antiqua" w:cs="Book Antiqua"/>
          <w:sz w:val="28"/>
          <w:szCs w:val="28"/>
        </w:rPr>
        <w:t>rom one Medicare prescription plan (Part D) to another</w:t>
      </w:r>
    </w:p>
    <w:p w14:paraId="2E8BA71A" w14:textId="1DC6DDD7" w:rsidR="0050266D" w:rsidRPr="0050266D" w:rsidRDefault="0050266D" w:rsidP="0050266D">
      <w:pPr>
        <w:pStyle w:val="Default"/>
        <w:numPr>
          <w:ilvl w:val="0"/>
          <w:numId w:val="2"/>
        </w:numPr>
        <w:rPr>
          <w:rFonts w:ascii="Book Antiqua" w:hAnsi="Book Antiqua" w:cs="Book Antiqua"/>
          <w:sz w:val="28"/>
          <w:szCs w:val="28"/>
          <w:u w:val="single"/>
        </w:rPr>
      </w:pPr>
      <w:r w:rsidRPr="0050266D">
        <w:rPr>
          <w:rFonts w:ascii="Book Antiqua" w:hAnsi="Book Antiqua" w:cs="Book Antiqua"/>
          <w:sz w:val="28"/>
          <w:szCs w:val="28"/>
        </w:rPr>
        <w:t>Join a Part D plan (</w:t>
      </w:r>
      <w:r w:rsidRPr="0050266D">
        <w:rPr>
          <w:rFonts w:ascii="Book Antiqua" w:hAnsi="Book Antiqua" w:cs="Book Antiqua"/>
          <w:sz w:val="28"/>
          <w:szCs w:val="28"/>
        </w:rPr>
        <w:t xml:space="preserve">a </w:t>
      </w:r>
      <w:r w:rsidRPr="0050266D">
        <w:rPr>
          <w:rFonts w:ascii="Book Antiqua" w:hAnsi="Book Antiqua" w:cs="Book Antiqua"/>
          <w:sz w:val="28"/>
          <w:szCs w:val="28"/>
        </w:rPr>
        <w:t>late enrollment penalty might apply)</w:t>
      </w:r>
    </w:p>
    <w:p w14:paraId="68D14514" w14:textId="778DC7E8" w:rsidR="0050266D" w:rsidRPr="0050266D" w:rsidRDefault="0050266D" w:rsidP="0050266D">
      <w:pPr>
        <w:pStyle w:val="Default"/>
        <w:numPr>
          <w:ilvl w:val="0"/>
          <w:numId w:val="2"/>
        </w:numPr>
        <w:rPr>
          <w:rFonts w:ascii="Book Antiqua" w:hAnsi="Book Antiqua" w:cs="Book Antiqua"/>
          <w:sz w:val="28"/>
          <w:szCs w:val="28"/>
          <w:u w:val="single"/>
        </w:rPr>
      </w:pPr>
      <w:r w:rsidRPr="0050266D">
        <w:rPr>
          <w:rFonts w:ascii="Book Antiqua" w:hAnsi="Book Antiqua" w:cs="Book Antiqua"/>
          <w:sz w:val="28"/>
          <w:szCs w:val="28"/>
        </w:rPr>
        <w:t>Drop your existing Part D coverage altogether</w:t>
      </w:r>
    </w:p>
    <w:p w14:paraId="44F2DC0B" w14:textId="77777777" w:rsidR="0050266D" w:rsidRPr="0050266D" w:rsidRDefault="0050266D" w:rsidP="0050266D">
      <w:pPr>
        <w:autoSpaceDE w:val="0"/>
        <w:autoSpaceDN w:val="0"/>
        <w:adjustRightInd w:val="0"/>
        <w:spacing w:after="0" w:line="240" w:lineRule="auto"/>
        <w:rPr>
          <w:rFonts w:ascii="Book Antiqua" w:hAnsi="Book Antiqua" w:cs="Book Antiqua"/>
          <w:color w:val="000000"/>
          <w:kern w:val="0"/>
          <w:sz w:val="28"/>
          <w:szCs w:val="28"/>
        </w:rPr>
      </w:pPr>
    </w:p>
    <w:p w14:paraId="4990C1E6" w14:textId="61203532" w:rsidR="0050266D" w:rsidRPr="0050266D" w:rsidRDefault="0050266D" w:rsidP="00C512C9">
      <w:pPr>
        <w:autoSpaceDE w:val="0"/>
        <w:autoSpaceDN w:val="0"/>
        <w:adjustRightInd w:val="0"/>
        <w:spacing w:after="0" w:line="240" w:lineRule="auto"/>
        <w:jc w:val="center"/>
        <w:rPr>
          <w:rFonts w:ascii="Book Antiqua" w:hAnsi="Book Antiqua" w:cs="Book Antiqua"/>
          <w:color w:val="000000"/>
          <w:kern w:val="0"/>
          <w:sz w:val="28"/>
          <w:szCs w:val="28"/>
          <w:u w:val="single"/>
        </w:rPr>
      </w:pPr>
      <w:r w:rsidRPr="0050266D">
        <w:rPr>
          <w:rFonts w:ascii="Book Antiqua" w:hAnsi="Book Antiqua" w:cs="Book Antiqua"/>
          <w:b/>
          <w:bCs/>
          <w:color w:val="000000"/>
          <w:kern w:val="0"/>
          <w:sz w:val="28"/>
          <w:szCs w:val="28"/>
          <w:u w:val="single"/>
        </w:rPr>
        <w:t xml:space="preserve">To </w:t>
      </w:r>
      <w:r w:rsidRPr="0050266D">
        <w:rPr>
          <w:rFonts w:ascii="Book Antiqua" w:hAnsi="Book Antiqua" w:cs="Book Antiqua"/>
          <w:b/>
          <w:bCs/>
          <w:color w:val="000000"/>
          <w:kern w:val="0"/>
          <w:sz w:val="28"/>
          <w:szCs w:val="28"/>
          <w:u w:val="single"/>
        </w:rPr>
        <w:t>Find a Plan that is Best for You</w:t>
      </w:r>
      <w:r w:rsidRPr="0050266D">
        <w:rPr>
          <w:rFonts w:ascii="Book Antiqua" w:hAnsi="Book Antiqua" w:cs="Book Antiqua"/>
          <w:b/>
          <w:bCs/>
          <w:color w:val="000000"/>
          <w:kern w:val="0"/>
          <w:sz w:val="28"/>
          <w:szCs w:val="28"/>
          <w:u w:val="single"/>
        </w:rPr>
        <w:t xml:space="preserve"> Go to Medicare.gov</w:t>
      </w:r>
    </w:p>
    <w:p w14:paraId="6281FE34" w14:textId="77777777" w:rsidR="0050266D" w:rsidRPr="0050266D" w:rsidRDefault="0050266D" w:rsidP="0050266D">
      <w:pPr>
        <w:pStyle w:val="ListParagraph"/>
        <w:numPr>
          <w:ilvl w:val="0"/>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r w:rsidRPr="0050266D">
        <w:rPr>
          <w:rFonts w:ascii="Book Antiqua" w:hAnsi="Book Antiqua" w:cs="Book Antiqua"/>
          <w:color w:val="000000"/>
          <w:kern w:val="0"/>
          <w:sz w:val="28"/>
          <w:szCs w:val="28"/>
        </w:rPr>
        <w:t>Learn about Original Medicare (Parts A &amp; B) benefits</w:t>
      </w:r>
      <w:r w:rsidRPr="0050266D">
        <w:rPr>
          <w:rFonts w:ascii="Book Antiqua" w:hAnsi="Book Antiqua" w:cs="Book Antiqua"/>
          <w:color w:val="000000"/>
          <w:kern w:val="0"/>
          <w:sz w:val="28"/>
          <w:szCs w:val="28"/>
        </w:rPr>
        <w:t xml:space="preserve">. </w:t>
      </w:r>
    </w:p>
    <w:p w14:paraId="0CF3A449" w14:textId="547734F5" w:rsidR="0050266D" w:rsidRPr="0050266D" w:rsidRDefault="0050266D" w:rsidP="0050266D">
      <w:pPr>
        <w:pStyle w:val="ListParagraph"/>
        <w:numPr>
          <w:ilvl w:val="0"/>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r w:rsidRPr="0050266D">
        <w:rPr>
          <w:rFonts w:ascii="Book Antiqua" w:hAnsi="Book Antiqua" w:cs="Book Antiqua"/>
          <w:color w:val="000000"/>
          <w:kern w:val="0"/>
          <w:sz w:val="28"/>
          <w:szCs w:val="28"/>
        </w:rPr>
        <w:t>Use the Medicare plan finder and compare similar plans side by</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side such as</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Medicare Advantage plans</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Prescription drug plans</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Medigap (Medicare Supplement Insurance)</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policies</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Part D &amp; Medigap</w:t>
      </w:r>
    </w:p>
    <w:p w14:paraId="7EF07C4C" w14:textId="77777777" w:rsidR="0050266D" w:rsidRPr="0050266D" w:rsidRDefault="0050266D" w:rsidP="0050266D">
      <w:pPr>
        <w:pStyle w:val="ListParagraph"/>
        <w:numPr>
          <w:ilvl w:val="0"/>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proofErr w:type="gramStart"/>
      <w:r w:rsidRPr="0050266D">
        <w:rPr>
          <w:rFonts w:ascii="Book Antiqua" w:hAnsi="Book Antiqua" w:cs="Book Antiqua"/>
          <w:color w:val="000000"/>
          <w:kern w:val="0"/>
          <w:sz w:val="28"/>
          <w:szCs w:val="28"/>
        </w:rPr>
        <w:t>Seek</w:t>
      </w:r>
      <w:proofErr w:type="gramEnd"/>
      <w:r w:rsidRPr="0050266D">
        <w:rPr>
          <w:rFonts w:ascii="Book Antiqua" w:hAnsi="Book Antiqua" w:cs="Book Antiqua"/>
          <w:color w:val="000000"/>
          <w:kern w:val="0"/>
          <w:sz w:val="28"/>
          <w:szCs w:val="28"/>
        </w:rPr>
        <w:t xml:space="preserve"> the help of a trained SHINE Medicare Counselor, who will:</w:t>
      </w:r>
    </w:p>
    <w:p w14:paraId="047F3FD1" w14:textId="77777777" w:rsidR="0050266D" w:rsidRPr="0050266D" w:rsidRDefault="0050266D" w:rsidP="0050266D">
      <w:pPr>
        <w:pStyle w:val="ListParagraph"/>
        <w:numPr>
          <w:ilvl w:val="1"/>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r w:rsidRPr="0050266D">
        <w:rPr>
          <w:rFonts w:ascii="Book Antiqua" w:hAnsi="Book Antiqua" w:cs="Book Antiqua"/>
          <w:color w:val="000000"/>
          <w:kern w:val="0"/>
          <w:sz w:val="28"/>
          <w:szCs w:val="28"/>
        </w:rPr>
        <w:t>Research Medicare and find answers for you</w:t>
      </w:r>
    </w:p>
    <w:p w14:paraId="2134CB31" w14:textId="1E437449" w:rsidR="0050266D" w:rsidRPr="0050266D" w:rsidRDefault="0050266D" w:rsidP="0050266D">
      <w:pPr>
        <w:pStyle w:val="ListParagraph"/>
        <w:numPr>
          <w:ilvl w:val="1"/>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r w:rsidRPr="0050266D">
        <w:rPr>
          <w:rFonts w:ascii="Book Antiqua" w:hAnsi="Book Antiqua" w:cs="Book Antiqua"/>
          <w:color w:val="000000"/>
          <w:kern w:val="0"/>
          <w:sz w:val="28"/>
          <w:szCs w:val="28"/>
        </w:rPr>
        <w:t>Assist with plan comparisons so you can choose the best</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plan that fits your needs</w:t>
      </w:r>
    </w:p>
    <w:p w14:paraId="78A3ECAF" w14:textId="77777777" w:rsidR="0050266D" w:rsidRPr="0050266D" w:rsidRDefault="0050266D" w:rsidP="0050266D">
      <w:pPr>
        <w:pStyle w:val="ListParagraph"/>
        <w:numPr>
          <w:ilvl w:val="1"/>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r w:rsidRPr="0050266D">
        <w:rPr>
          <w:rFonts w:ascii="Book Antiqua" w:hAnsi="Book Antiqua" w:cs="Book Antiqua"/>
          <w:color w:val="000000"/>
          <w:kern w:val="0"/>
          <w:sz w:val="28"/>
          <w:szCs w:val="28"/>
        </w:rPr>
        <w:t>Explain programs that could save you money on premiums and</w:t>
      </w:r>
      <w:r w:rsidRPr="0050266D">
        <w:rPr>
          <w:rFonts w:ascii="Book Antiqua" w:hAnsi="Book Antiqua" w:cs="Book Antiqua"/>
          <w:color w:val="000000"/>
          <w:kern w:val="0"/>
          <w:sz w:val="28"/>
          <w:szCs w:val="28"/>
        </w:rPr>
        <w:t xml:space="preserve"> </w:t>
      </w:r>
      <w:r w:rsidRPr="0050266D">
        <w:rPr>
          <w:rFonts w:ascii="Book Antiqua" w:hAnsi="Book Antiqua" w:cs="Book Antiqua"/>
          <w:color w:val="000000"/>
          <w:kern w:val="0"/>
          <w:sz w:val="28"/>
          <w:szCs w:val="28"/>
        </w:rPr>
        <w:t>prescriptions</w:t>
      </w:r>
    </w:p>
    <w:p w14:paraId="7D12C9BF" w14:textId="77777777" w:rsidR="00C512C9" w:rsidRPr="00C512C9" w:rsidRDefault="0050266D" w:rsidP="00C512C9">
      <w:pPr>
        <w:pStyle w:val="ListParagraph"/>
        <w:numPr>
          <w:ilvl w:val="1"/>
          <w:numId w:val="3"/>
        </w:numPr>
        <w:autoSpaceDE w:val="0"/>
        <w:autoSpaceDN w:val="0"/>
        <w:adjustRightInd w:val="0"/>
        <w:spacing w:after="0" w:line="240" w:lineRule="auto"/>
        <w:jc w:val="both"/>
        <w:rPr>
          <w:rFonts w:ascii="Book Antiqua" w:hAnsi="Book Antiqua" w:cs="Book Antiqua"/>
          <w:color w:val="000000"/>
          <w:kern w:val="0"/>
          <w:sz w:val="28"/>
          <w:szCs w:val="28"/>
          <w:u w:val="single"/>
        </w:rPr>
      </w:pPr>
      <w:r w:rsidRPr="0050266D">
        <w:rPr>
          <w:rFonts w:ascii="Book Antiqua" w:hAnsi="Book Antiqua" w:cs="Book Antiqua"/>
          <w:color w:val="000000"/>
          <w:kern w:val="0"/>
          <w:sz w:val="28"/>
          <w:szCs w:val="28"/>
        </w:rPr>
        <w:t>Guide you through enrolling in a new plan</w:t>
      </w:r>
    </w:p>
    <w:p w14:paraId="73567788" w14:textId="77777777" w:rsidR="00C512C9" w:rsidRPr="00C512C9" w:rsidRDefault="00C512C9" w:rsidP="00C512C9">
      <w:pPr>
        <w:pStyle w:val="ListParagraph"/>
        <w:autoSpaceDE w:val="0"/>
        <w:autoSpaceDN w:val="0"/>
        <w:adjustRightInd w:val="0"/>
        <w:spacing w:after="0" w:line="240" w:lineRule="auto"/>
        <w:ind w:left="1440"/>
        <w:jc w:val="both"/>
        <w:rPr>
          <w:rFonts w:ascii="Book Antiqua" w:hAnsi="Book Antiqua" w:cs="Book Antiqua"/>
          <w:color w:val="000000"/>
          <w:kern w:val="0"/>
          <w:sz w:val="28"/>
          <w:szCs w:val="28"/>
          <w:u w:val="single"/>
        </w:rPr>
      </w:pPr>
    </w:p>
    <w:p w14:paraId="0441C1B3" w14:textId="5B22CD06" w:rsidR="00C512C9" w:rsidRPr="00C512C9" w:rsidRDefault="00C512C9" w:rsidP="00C512C9">
      <w:pPr>
        <w:autoSpaceDE w:val="0"/>
        <w:autoSpaceDN w:val="0"/>
        <w:adjustRightInd w:val="0"/>
        <w:spacing w:after="0" w:line="240" w:lineRule="auto"/>
        <w:jc w:val="center"/>
        <w:rPr>
          <w:rFonts w:ascii="Book Antiqua" w:hAnsi="Book Antiqua" w:cs="Book Antiqua"/>
          <w:color w:val="000000"/>
          <w:kern w:val="0"/>
          <w:sz w:val="28"/>
          <w:szCs w:val="28"/>
          <w:u w:val="single"/>
        </w:rPr>
      </w:pPr>
      <w:r w:rsidRPr="00C512C9">
        <w:rPr>
          <w:rFonts w:ascii="Book Antiqua" w:hAnsi="Book Antiqua"/>
          <w:sz w:val="28"/>
          <w:szCs w:val="28"/>
        </w:rPr>
        <w:t>To talk to a SHINE Medicare Counselor,</w:t>
      </w:r>
      <w:r w:rsidRPr="00C512C9">
        <w:rPr>
          <w:rFonts w:ascii="Book Antiqua" w:hAnsi="Book Antiqua" w:cs="Book Antiqua"/>
          <w:color w:val="000000"/>
          <w:kern w:val="0"/>
          <w:sz w:val="28"/>
          <w:szCs w:val="28"/>
        </w:rPr>
        <w:t xml:space="preserve"> </w:t>
      </w:r>
      <w:r w:rsidRPr="00C512C9">
        <w:rPr>
          <w:rFonts w:ascii="Book Antiqua" w:hAnsi="Book Antiqua"/>
          <w:sz w:val="28"/>
          <w:szCs w:val="28"/>
        </w:rPr>
        <w:t>ca</w:t>
      </w:r>
      <w:r w:rsidRPr="00C512C9">
        <w:rPr>
          <w:rFonts w:ascii="Book Antiqua" w:hAnsi="Book Antiqua"/>
          <w:sz w:val="28"/>
          <w:szCs w:val="28"/>
        </w:rPr>
        <w:t>ll the</w:t>
      </w:r>
      <w:r w:rsidRPr="00C512C9">
        <w:rPr>
          <w:rFonts w:ascii="Verdana" w:hAnsi="Verdana"/>
          <w:sz w:val="28"/>
          <w:szCs w:val="28"/>
        </w:rPr>
        <w:t xml:space="preserve"> </w:t>
      </w:r>
      <w:r w:rsidRPr="00C512C9">
        <w:rPr>
          <w:rFonts w:cstheme="minorHAnsi"/>
          <w:b/>
          <w:bCs/>
          <w:noProof/>
          <w:sz w:val="28"/>
          <w:szCs w:val="28"/>
        </w:rPr>
        <w:t>Elder Helpline at 866-467-4624</w:t>
      </w:r>
      <w:r>
        <w:rPr>
          <w:noProof/>
        </w:rPr>
        <w:drawing>
          <wp:anchor distT="0" distB="0" distL="114300" distR="114300" simplePos="0" relativeHeight="251659264" behindDoc="1" locked="0" layoutInCell="1" allowOverlap="1" wp14:anchorId="12824E0D" wp14:editId="2BF90EC8">
            <wp:simplePos x="0" y="0"/>
            <wp:positionH relativeFrom="column">
              <wp:posOffset>2564130</wp:posOffset>
            </wp:positionH>
            <wp:positionV relativeFrom="paragraph">
              <wp:posOffset>554990</wp:posOffset>
            </wp:positionV>
            <wp:extent cx="1931670" cy="695325"/>
            <wp:effectExtent l="0" t="0" r="0" b="9525"/>
            <wp:wrapTight wrapText="bothSides">
              <wp:wrapPolygon edited="0">
                <wp:start x="0" y="0"/>
                <wp:lineTo x="0" y="21304"/>
                <wp:lineTo x="21302" y="21304"/>
                <wp:lineTo x="21302" y="0"/>
                <wp:lineTo x="0" y="0"/>
              </wp:wrapPolygon>
            </wp:wrapTight>
            <wp:docPr id="3" name="Picture 3" descr="DO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1670" cy="695325"/>
                    </a:xfrm>
                    <a:prstGeom prst="rect">
                      <a:avLst/>
                    </a:prstGeom>
                    <a:noFill/>
                    <a:ln>
                      <a:noFill/>
                    </a:ln>
                  </pic:spPr>
                </pic:pic>
              </a:graphicData>
            </a:graphic>
          </wp:anchor>
        </w:drawing>
      </w:r>
      <w:r>
        <w:rPr>
          <w:noProof/>
          <w:color w:val="0D0D0D" w:themeColor="text1" w:themeTint="F2"/>
        </w:rPr>
        <w:drawing>
          <wp:anchor distT="0" distB="0" distL="114300" distR="114300" simplePos="0" relativeHeight="251661312" behindDoc="1" locked="0" layoutInCell="1" allowOverlap="1" wp14:anchorId="0CB8E221" wp14:editId="2BC7CCCE">
            <wp:simplePos x="0" y="0"/>
            <wp:positionH relativeFrom="column">
              <wp:posOffset>186690</wp:posOffset>
            </wp:positionH>
            <wp:positionV relativeFrom="paragraph">
              <wp:posOffset>566420</wp:posOffset>
            </wp:positionV>
            <wp:extent cx="1475105" cy="735330"/>
            <wp:effectExtent l="0" t="0" r="0" b="0"/>
            <wp:wrapTight wrapText="bothSides">
              <wp:wrapPolygon edited="0">
                <wp:start x="3347" y="0"/>
                <wp:lineTo x="3347" y="8394"/>
                <wp:lineTo x="837" y="10073"/>
                <wp:lineTo x="279" y="17347"/>
                <wp:lineTo x="1116" y="19026"/>
                <wp:lineTo x="3068" y="20705"/>
                <wp:lineTo x="15342" y="20705"/>
                <wp:lineTo x="19805" y="19585"/>
                <wp:lineTo x="21200" y="19026"/>
                <wp:lineTo x="21200" y="12311"/>
                <wp:lineTo x="19526" y="10632"/>
                <wp:lineTo x="18132" y="0"/>
                <wp:lineTo x="3347" y="0"/>
              </wp:wrapPolygon>
            </wp:wrapTight>
            <wp:docPr id="44899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90630" name="Picture 448990630"/>
                    <pic:cNvPicPr/>
                  </pic:nvPicPr>
                  <pic:blipFill>
                    <a:blip r:embed="rId6">
                      <a:extLst>
                        <a:ext uri="{28A0092B-C50C-407E-A947-70E740481C1C}">
                          <a14:useLocalDpi xmlns:a14="http://schemas.microsoft.com/office/drawing/2010/main" val="0"/>
                        </a:ext>
                      </a:extLst>
                    </a:blip>
                    <a:stretch>
                      <a:fillRect/>
                    </a:stretch>
                  </pic:blipFill>
                  <pic:spPr>
                    <a:xfrm>
                      <a:off x="0" y="0"/>
                      <a:ext cx="1475105" cy="735330"/>
                    </a:xfrm>
                    <a:prstGeom prst="rect">
                      <a:avLst/>
                    </a:prstGeom>
                  </pic:spPr>
                </pic:pic>
              </a:graphicData>
            </a:graphic>
          </wp:anchor>
        </w:drawing>
      </w:r>
      <w:r>
        <w:rPr>
          <w:noProof/>
        </w:rPr>
        <w:drawing>
          <wp:anchor distT="0" distB="0" distL="114300" distR="114300" simplePos="0" relativeHeight="251660288" behindDoc="1" locked="0" layoutInCell="1" allowOverlap="1" wp14:anchorId="2B08B2E2" wp14:editId="07C35CD9">
            <wp:simplePos x="0" y="0"/>
            <wp:positionH relativeFrom="column">
              <wp:posOffset>5189220</wp:posOffset>
            </wp:positionH>
            <wp:positionV relativeFrom="paragraph">
              <wp:posOffset>254000</wp:posOffset>
            </wp:positionV>
            <wp:extent cx="1501140" cy="1114425"/>
            <wp:effectExtent l="0" t="0" r="3810" b="9525"/>
            <wp:wrapTight wrapText="bothSides">
              <wp:wrapPolygon edited="0">
                <wp:start x="0" y="0"/>
                <wp:lineTo x="0" y="21415"/>
                <wp:lineTo x="21381" y="21415"/>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1140" cy="1114425"/>
                    </a:xfrm>
                    <a:prstGeom prst="rect">
                      <a:avLst/>
                    </a:prstGeom>
                    <a:noFill/>
                    <a:ln>
                      <a:noFill/>
                    </a:ln>
                  </pic:spPr>
                </pic:pic>
              </a:graphicData>
            </a:graphic>
          </wp:anchor>
        </w:drawing>
      </w:r>
      <w:r>
        <w:rPr>
          <w:rStyle w:val="IntenseEmphasis"/>
          <w:color w:val="0D0D0D" w:themeColor="text1" w:themeTint="F2"/>
        </w:rPr>
        <w:t xml:space="preserve">                            </w:t>
      </w:r>
    </w:p>
    <w:sectPr w:rsidR="00C512C9" w:rsidRPr="00C512C9" w:rsidSect="00C512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masis MT Pro">
    <w:altName w:val="Amasis MT Pro Black"/>
    <w:charset w:val="00"/>
    <w:family w:val="roman"/>
    <w:pitch w:val="variable"/>
    <w:sig w:usb0="A00000AF" w:usb1="4000205B" w:usb2="00000000" w:usb3="00000000" w:csb0="00000093" w:csb1="00000000"/>
  </w:font>
  <w:font w:name="Modern Love Grunge">
    <w:altName w:val="Modern Love Grunge"/>
    <w:charset w:val="00"/>
    <w:family w:val="decorative"/>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B3E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A454E8"/>
    <w:multiLevelType w:val="hybridMultilevel"/>
    <w:tmpl w:val="2D2A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370C2"/>
    <w:multiLevelType w:val="hybridMultilevel"/>
    <w:tmpl w:val="041AB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79909">
    <w:abstractNumId w:val="0"/>
  </w:num>
  <w:num w:numId="2" w16cid:durableId="1396389702">
    <w:abstractNumId w:val="1"/>
  </w:num>
  <w:num w:numId="3" w16cid:durableId="2118914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6D"/>
    <w:rsid w:val="00114484"/>
    <w:rsid w:val="0050266D"/>
    <w:rsid w:val="00C5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2499"/>
  <w15:chartTrackingRefBased/>
  <w15:docId w15:val="{CDAF1017-B86F-4345-BC15-D8D0B1D7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6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6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6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6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6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6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6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6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6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6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6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6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66D"/>
    <w:rPr>
      <w:rFonts w:eastAsiaTheme="majorEastAsia" w:cstheme="majorBidi"/>
      <w:color w:val="272727" w:themeColor="text1" w:themeTint="D8"/>
    </w:rPr>
  </w:style>
  <w:style w:type="paragraph" w:styleId="Title">
    <w:name w:val="Title"/>
    <w:basedOn w:val="Normal"/>
    <w:next w:val="Normal"/>
    <w:link w:val="TitleChar"/>
    <w:uiPriority w:val="10"/>
    <w:qFormat/>
    <w:rsid w:val="00502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6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66D"/>
    <w:pPr>
      <w:spacing w:before="160"/>
      <w:jc w:val="center"/>
    </w:pPr>
    <w:rPr>
      <w:i/>
      <w:iCs/>
      <w:color w:val="404040" w:themeColor="text1" w:themeTint="BF"/>
    </w:rPr>
  </w:style>
  <w:style w:type="character" w:customStyle="1" w:styleId="QuoteChar">
    <w:name w:val="Quote Char"/>
    <w:basedOn w:val="DefaultParagraphFont"/>
    <w:link w:val="Quote"/>
    <w:uiPriority w:val="29"/>
    <w:rsid w:val="0050266D"/>
    <w:rPr>
      <w:i/>
      <w:iCs/>
      <w:color w:val="404040" w:themeColor="text1" w:themeTint="BF"/>
    </w:rPr>
  </w:style>
  <w:style w:type="paragraph" w:styleId="ListParagraph">
    <w:name w:val="List Paragraph"/>
    <w:basedOn w:val="Normal"/>
    <w:uiPriority w:val="34"/>
    <w:qFormat/>
    <w:rsid w:val="0050266D"/>
    <w:pPr>
      <w:ind w:left="720"/>
      <w:contextualSpacing/>
    </w:pPr>
  </w:style>
  <w:style w:type="character" w:styleId="IntenseEmphasis">
    <w:name w:val="Intense Emphasis"/>
    <w:basedOn w:val="DefaultParagraphFont"/>
    <w:uiPriority w:val="21"/>
    <w:qFormat/>
    <w:rsid w:val="0050266D"/>
    <w:rPr>
      <w:i/>
      <w:iCs/>
      <w:color w:val="0F4761" w:themeColor="accent1" w:themeShade="BF"/>
    </w:rPr>
  </w:style>
  <w:style w:type="paragraph" w:styleId="IntenseQuote">
    <w:name w:val="Intense Quote"/>
    <w:basedOn w:val="Normal"/>
    <w:next w:val="Normal"/>
    <w:link w:val="IntenseQuoteChar"/>
    <w:uiPriority w:val="30"/>
    <w:qFormat/>
    <w:rsid w:val="00502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66D"/>
    <w:rPr>
      <w:i/>
      <w:iCs/>
      <w:color w:val="0F4761" w:themeColor="accent1" w:themeShade="BF"/>
    </w:rPr>
  </w:style>
  <w:style w:type="character" w:styleId="IntenseReference">
    <w:name w:val="Intense Reference"/>
    <w:basedOn w:val="DefaultParagraphFont"/>
    <w:uiPriority w:val="32"/>
    <w:qFormat/>
    <w:rsid w:val="0050266D"/>
    <w:rPr>
      <w:b/>
      <w:bCs/>
      <w:smallCaps/>
      <w:color w:val="0F4761" w:themeColor="accent1" w:themeShade="BF"/>
      <w:spacing w:val="5"/>
    </w:rPr>
  </w:style>
  <w:style w:type="paragraph" w:styleId="NoSpacing">
    <w:name w:val="No Spacing"/>
    <w:uiPriority w:val="1"/>
    <w:qFormat/>
    <w:rsid w:val="0050266D"/>
    <w:pPr>
      <w:spacing w:after="0" w:line="240" w:lineRule="auto"/>
    </w:pPr>
    <w:rPr>
      <w:rFonts w:ascii="Book Antiqua" w:hAnsi="Book Antiqua"/>
      <w:kern w:val="0"/>
      <w:sz w:val="28"/>
      <w14:ligatures w14:val="none"/>
    </w:rPr>
  </w:style>
  <w:style w:type="paragraph" w:customStyle="1" w:styleId="Default">
    <w:name w:val="Default"/>
    <w:rsid w:val="0050266D"/>
    <w:pPr>
      <w:autoSpaceDE w:val="0"/>
      <w:autoSpaceDN w:val="0"/>
      <w:adjustRightInd w:val="0"/>
      <w:spacing w:after="0" w:line="240" w:lineRule="auto"/>
    </w:pPr>
    <w:rPr>
      <w:rFonts w:ascii="Amasis MT Pro" w:hAnsi="Amasis MT Pro" w:cs="Amasis MT Pro"/>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Rode</dc:creator>
  <cp:keywords/>
  <dc:description/>
  <cp:lastModifiedBy>Sarah Rode</cp:lastModifiedBy>
  <cp:revision>1</cp:revision>
  <dcterms:created xsi:type="dcterms:W3CDTF">2025-10-01T14:30:00Z</dcterms:created>
  <dcterms:modified xsi:type="dcterms:W3CDTF">2025-10-01T14:44:00Z</dcterms:modified>
</cp:coreProperties>
</file>